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E06" w:rsidRDefault="00C21E06" w:rsidP="00C21E06">
      <w:pPr>
        <w:spacing w:line="480" w:lineRule="auto"/>
        <w:jc w:val="center"/>
        <w:rPr>
          <w:rFonts w:ascii="Times New Roman" w:hAnsi="Times New Roman" w:cs="Times New Roman"/>
          <w:sz w:val="24"/>
          <w:szCs w:val="24"/>
        </w:rPr>
      </w:pPr>
    </w:p>
    <w:p w:rsidR="00C21E06" w:rsidRDefault="00C21E06" w:rsidP="00C21E06">
      <w:pPr>
        <w:spacing w:line="480" w:lineRule="auto"/>
        <w:jc w:val="center"/>
        <w:rPr>
          <w:rFonts w:ascii="Times New Roman" w:hAnsi="Times New Roman" w:cs="Times New Roman"/>
          <w:sz w:val="24"/>
          <w:szCs w:val="24"/>
        </w:rPr>
      </w:pPr>
    </w:p>
    <w:p w:rsidR="00C21E06" w:rsidRDefault="00C21E06" w:rsidP="00C21E06">
      <w:pPr>
        <w:spacing w:line="480" w:lineRule="auto"/>
        <w:jc w:val="center"/>
        <w:rPr>
          <w:rFonts w:ascii="Times New Roman" w:hAnsi="Times New Roman" w:cs="Times New Roman"/>
          <w:sz w:val="24"/>
          <w:szCs w:val="24"/>
        </w:rPr>
      </w:pPr>
    </w:p>
    <w:p w:rsidR="00C21E06" w:rsidRDefault="00C21E06" w:rsidP="00C21E06">
      <w:pPr>
        <w:spacing w:line="480" w:lineRule="auto"/>
        <w:jc w:val="center"/>
        <w:rPr>
          <w:rFonts w:ascii="Times New Roman" w:hAnsi="Times New Roman" w:cs="Times New Roman"/>
          <w:sz w:val="24"/>
          <w:szCs w:val="24"/>
        </w:rPr>
      </w:pPr>
    </w:p>
    <w:p w:rsidR="00C21E06" w:rsidRDefault="00C21E06" w:rsidP="00C21E06">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Finance</w:t>
      </w:r>
    </w:p>
    <w:p w:rsidR="00C21E06" w:rsidRDefault="00C21E06" w:rsidP="00C21E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21E06" w:rsidRDefault="00C21E06" w:rsidP="00C21E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21E06" w:rsidRDefault="00C21E06" w:rsidP="00C21E0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21E06" w:rsidRDefault="00C21E06" w:rsidP="00C21E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C21E06" w:rsidRDefault="00C21E06" w:rsidP="004771A5">
      <w:pPr>
        <w:spacing w:line="480" w:lineRule="auto"/>
        <w:rPr>
          <w:rFonts w:ascii="Times New Roman" w:hAnsi="Times New Roman" w:cs="Times New Roman"/>
          <w:sz w:val="24"/>
          <w:szCs w:val="24"/>
        </w:rPr>
      </w:pPr>
    </w:p>
    <w:p w:rsidR="00793B01" w:rsidRDefault="004771A5" w:rsidP="00C21E06">
      <w:pPr>
        <w:spacing w:line="480" w:lineRule="auto"/>
        <w:jc w:val="center"/>
        <w:rPr>
          <w:rFonts w:ascii="Times New Roman" w:hAnsi="Times New Roman" w:cs="Times New Roman"/>
          <w:sz w:val="24"/>
          <w:szCs w:val="24"/>
        </w:rPr>
      </w:pPr>
      <w:r w:rsidRPr="004771A5">
        <w:rPr>
          <w:rFonts w:ascii="Times New Roman" w:hAnsi="Times New Roman" w:cs="Times New Roman"/>
          <w:sz w:val="24"/>
          <w:szCs w:val="24"/>
        </w:rPr>
        <w:lastRenderedPageBreak/>
        <w:t>CORPORATE FINANCE</w:t>
      </w:r>
    </w:p>
    <w:p w:rsidR="004771A5" w:rsidRPr="00B43A77" w:rsidRDefault="004771A5" w:rsidP="00B43A77">
      <w:pPr>
        <w:pStyle w:val="ListParagraph"/>
        <w:numPr>
          <w:ilvl w:val="0"/>
          <w:numId w:val="1"/>
        </w:numPr>
        <w:spacing w:line="480" w:lineRule="auto"/>
        <w:rPr>
          <w:rFonts w:ascii="Times New Roman" w:hAnsi="Times New Roman" w:cs="Times New Roman"/>
          <w:b/>
          <w:sz w:val="24"/>
          <w:szCs w:val="24"/>
        </w:rPr>
      </w:pPr>
      <w:r w:rsidRPr="00B43A77">
        <w:rPr>
          <w:rFonts w:ascii="Times New Roman" w:hAnsi="Times New Roman" w:cs="Times New Roman"/>
          <w:b/>
          <w:sz w:val="24"/>
          <w:szCs w:val="24"/>
        </w:rPr>
        <w:t>Capital Asset Pricing Model</w:t>
      </w:r>
    </w:p>
    <w:p w:rsidR="00793B01" w:rsidRDefault="00793B01" w:rsidP="00F05E72">
      <w:pPr>
        <w:spacing w:line="480" w:lineRule="auto"/>
        <w:ind w:firstLine="360"/>
        <w:rPr>
          <w:rFonts w:ascii="Times New Roman" w:hAnsi="Times New Roman" w:cs="Times New Roman"/>
          <w:sz w:val="24"/>
          <w:szCs w:val="24"/>
        </w:rPr>
      </w:pPr>
      <w:r>
        <w:rPr>
          <w:rFonts w:ascii="Times New Roman" w:hAnsi="Times New Roman" w:cs="Times New Roman"/>
          <w:sz w:val="24"/>
          <w:szCs w:val="24"/>
        </w:rPr>
        <w:t>Capital asset pricing is a financial theory model that is mainly used in establishing a linear relationship between an investment’s requi</w:t>
      </w:r>
      <w:r w:rsidR="001974C2">
        <w:rPr>
          <w:rFonts w:ascii="Times New Roman" w:hAnsi="Times New Roman" w:cs="Times New Roman"/>
          <w:sz w:val="24"/>
          <w:szCs w:val="24"/>
        </w:rPr>
        <w:t>red rate of return and its risk (</w:t>
      </w:r>
      <w:r w:rsidR="001974C2">
        <w:rPr>
          <w:rFonts w:ascii="Times New Roman" w:hAnsi="Times New Roman" w:cs="Times New Roman"/>
          <w:color w:val="000000"/>
          <w:sz w:val="24"/>
          <w:szCs w:val="24"/>
          <w:shd w:val="clear" w:color="auto" w:fill="FFFFFF"/>
        </w:rPr>
        <w:t xml:space="preserve">Choe, </w:t>
      </w:r>
      <w:r w:rsidR="001974C2" w:rsidRPr="001974C2">
        <w:rPr>
          <w:rFonts w:ascii="Times New Roman" w:hAnsi="Times New Roman" w:cs="Times New Roman"/>
          <w:color w:val="000000"/>
          <w:sz w:val="24"/>
          <w:szCs w:val="24"/>
          <w:shd w:val="clear" w:color="auto" w:fill="FFFFFF"/>
        </w:rPr>
        <w:t xml:space="preserve">2016). </w:t>
      </w:r>
      <w:r>
        <w:rPr>
          <w:rFonts w:ascii="Times New Roman" w:hAnsi="Times New Roman" w:cs="Times New Roman"/>
          <w:sz w:val="24"/>
          <w:szCs w:val="24"/>
        </w:rPr>
        <w:t xml:space="preserve"> Therefore, the model is rooted </w:t>
      </w:r>
      <w:r w:rsidR="00320F5A">
        <w:rPr>
          <w:rFonts w:ascii="Times New Roman" w:hAnsi="Times New Roman" w:cs="Times New Roman"/>
          <w:noProof/>
          <w:sz w:val="24"/>
          <w:szCs w:val="24"/>
        </w:rPr>
        <w:t>i</w:t>
      </w:r>
      <w:r w:rsidRPr="00320F5A">
        <w:rPr>
          <w:rFonts w:ascii="Times New Roman" w:hAnsi="Times New Roman" w:cs="Times New Roman"/>
          <w:noProof/>
          <w:sz w:val="24"/>
          <w:szCs w:val="24"/>
        </w:rPr>
        <w:t>n</w:t>
      </w:r>
      <w:r>
        <w:rPr>
          <w:rFonts w:ascii="Times New Roman" w:hAnsi="Times New Roman" w:cs="Times New Roman"/>
          <w:sz w:val="24"/>
          <w:szCs w:val="24"/>
        </w:rPr>
        <w:t xml:space="preserve"> the relation between an asset’s risk-free rate (Treasury bill rate), beta, and the equity risk premium. However, in calculating the above elements of the model, there are underlying assumptions, that face criticism as being unrealistic. Therefore, such critics provide the foundation of some major strengths and weaknesses for the model. </w:t>
      </w:r>
    </w:p>
    <w:p w:rsidR="00793B01" w:rsidRPr="00B43A77" w:rsidRDefault="00793B01" w:rsidP="00B43A77">
      <w:pPr>
        <w:pStyle w:val="ListParagraph"/>
        <w:numPr>
          <w:ilvl w:val="1"/>
          <w:numId w:val="1"/>
        </w:numPr>
        <w:spacing w:line="480" w:lineRule="auto"/>
        <w:rPr>
          <w:rFonts w:ascii="Times New Roman" w:hAnsi="Times New Roman" w:cs="Times New Roman"/>
          <w:b/>
          <w:i/>
          <w:sz w:val="24"/>
          <w:szCs w:val="24"/>
        </w:rPr>
      </w:pPr>
      <w:r w:rsidRPr="00B43A77">
        <w:rPr>
          <w:rFonts w:ascii="Times New Roman" w:hAnsi="Times New Roman" w:cs="Times New Roman"/>
          <w:b/>
          <w:i/>
          <w:sz w:val="24"/>
          <w:szCs w:val="24"/>
        </w:rPr>
        <w:t>Strengths to capital asset model</w:t>
      </w:r>
    </w:p>
    <w:p w:rsidR="00793B01" w:rsidRDefault="00793B01" w:rsidP="00F05E7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Foremost, the model is easy to use since it appears to be a </w:t>
      </w:r>
      <w:r w:rsidRPr="00320F5A">
        <w:rPr>
          <w:rFonts w:ascii="Times New Roman" w:hAnsi="Times New Roman" w:cs="Times New Roman"/>
          <w:noProof/>
          <w:sz w:val="24"/>
          <w:szCs w:val="24"/>
        </w:rPr>
        <w:t>simpl</w:t>
      </w:r>
      <w:r w:rsidR="00320F5A">
        <w:rPr>
          <w:rFonts w:ascii="Times New Roman" w:hAnsi="Times New Roman" w:cs="Times New Roman"/>
          <w:noProof/>
          <w:sz w:val="24"/>
          <w:szCs w:val="24"/>
        </w:rPr>
        <w:t>e</w:t>
      </w:r>
      <w:r>
        <w:rPr>
          <w:rFonts w:ascii="Times New Roman" w:hAnsi="Times New Roman" w:cs="Times New Roman"/>
          <w:sz w:val="24"/>
          <w:szCs w:val="24"/>
        </w:rPr>
        <w:t xml:space="preserve"> calculation that is easily stress-tested in deriving a wide variety of the potential outcomes in providing confidence over the required return rates. Secondly, the model has a diverse portfolio. </w:t>
      </w:r>
      <w:r w:rsidR="002A2DC9">
        <w:rPr>
          <w:rFonts w:ascii="Times New Roman" w:hAnsi="Times New Roman" w:cs="Times New Roman"/>
          <w:sz w:val="24"/>
          <w:szCs w:val="24"/>
        </w:rPr>
        <w:t xml:space="preserve">The model assumes that investors possess a diversified portfolio that is same to the market portfolio. Therefore, such an assumption is applied in eliminating the specific or unsystematic risk. The assumption on beta or the systematic risk makes the model account for such a risk. This risk is mainly ignored in other alternative models to </w:t>
      </w:r>
      <w:r w:rsidR="00320F5A">
        <w:rPr>
          <w:rFonts w:ascii="Times New Roman" w:hAnsi="Times New Roman" w:cs="Times New Roman"/>
          <w:sz w:val="24"/>
          <w:szCs w:val="24"/>
        </w:rPr>
        <w:t xml:space="preserve">a </w:t>
      </w:r>
      <w:r w:rsidR="002A2DC9" w:rsidRPr="00320F5A">
        <w:rPr>
          <w:rFonts w:ascii="Times New Roman" w:hAnsi="Times New Roman" w:cs="Times New Roman"/>
          <w:noProof/>
          <w:sz w:val="24"/>
          <w:szCs w:val="24"/>
        </w:rPr>
        <w:t>capital</w:t>
      </w:r>
      <w:r w:rsidR="002A2DC9">
        <w:rPr>
          <w:rFonts w:ascii="Times New Roman" w:hAnsi="Times New Roman" w:cs="Times New Roman"/>
          <w:sz w:val="24"/>
          <w:szCs w:val="24"/>
        </w:rPr>
        <w:t xml:space="preserve"> asset such as the dividend discount model (DDM) and the weighted average cost of capital (WACC). Market or systematic risk is a significant variable since it is often unforeseen and it is not completely mitigated due to the fact</w:t>
      </w:r>
      <w:r w:rsidR="00C21E06">
        <w:rPr>
          <w:rFonts w:ascii="Times New Roman" w:hAnsi="Times New Roman" w:cs="Times New Roman"/>
          <w:sz w:val="24"/>
          <w:szCs w:val="24"/>
        </w:rPr>
        <w:t xml:space="preserve"> that it is not really expected </w:t>
      </w:r>
      <w:r w:rsidR="00C21E06">
        <w:rPr>
          <w:rFonts w:ascii="Times New Roman" w:hAnsi="Times New Roman" w:cs="Times New Roman"/>
          <w:sz w:val="24"/>
          <w:szCs w:val="24"/>
        </w:rPr>
        <w:t>(</w:t>
      </w:r>
      <w:r w:rsidR="00C21E06">
        <w:rPr>
          <w:rFonts w:ascii="Times New Roman" w:hAnsi="Times New Roman" w:cs="Times New Roman"/>
          <w:color w:val="000000"/>
          <w:sz w:val="24"/>
          <w:szCs w:val="24"/>
          <w:shd w:val="clear" w:color="auto" w:fill="FFFFFF"/>
        </w:rPr>
        <w:t xml:space="preserve">Choe, </w:t>
      </w:r>
      <w:r w:rsidR="00C21E06">
        <w:rPr>
          <w:rFonts w:ascii="Times New Roman" w:hAnsi="Times New Roman" w:cs="Times New Roman"/>
          <w:color w:val="000000"/>
          <w:sz w:val="24"/>
          <w:szCs w:val="24"/>
          <w:shd w:val="clear" w:color="auto" w:fill="FFFFFF"/>
        </w:rPr>
        <w:t xml:space="preserve">2016). </w:t>
      </w:r>
      <w:r w:rsidR="002A2DC9">
        <w:rPr>
          <w:rFonts w:ascii="Times New Roman" w:hAnsi="Times New Roman" w:cs="Times New Roman"/>
          <w:sz w:val="24"/>
          <w:szCs w:val="24"/>
        </w:rPr>
        <w:t xml:space="preserve">Finally, the model provides the financial and business risk variability. </w:t>
      </w:r>
      <w:r w:rsidR="009C10AF">
        <w:rPr>
          <w:rFonts w:ascii="Times New Roman" w:hAnsi="Times New Roman" w:cs="Times New Roman"/>
          <w:sz w:val="24"/>
          <w:szCs w:val="24"/>
        </w:rPr>
        <w:t xml:space="preserve">Whenever a firm researches opportunities and the financing and business mix are different from those of existing business, then the capital asset pricing model will be the only model used. As a </w:t>
      </w:r>
      <w:r w:rsidR="009C10AF">
        <w:rPr>
          <w:rFonts w:ascii="Times New Roman" w:hAnsi="Times New Roman" w:cs="Times New Roman"/>
          <w:sz w:val="24"/>
          <w:szCs w:val="24"/>
        </w:rPr>
        <w:lastRenderedPageBreak/>
        <w:t xml:space="preserve">fact, given </w:t>
      </w:r>
      <w:r w:rsidR="009C10AF" w:rsidRPr="00320F5A">
        <w:rPr>
          <w:rFonts w:ascii="Times New Roman" w:hAnsi="Times New Roman" w:cs="Times New Roman"/>
          <w:noProof/>
          <w:sz w:val="24"/>
          <w:szCs w:val="24"/>
        </w:rPr>
        <w:t>such</w:t>
      </w:r>
      <w:r w:rsidR="00320F5A">
        <w:rPr>
          <w:rFonts w:ascii="Times New Roman" w:hAnsi="Times New Roman" w:cs="Times New Roman"/>
          <w:noProof/>
          <w:sz w:val="24"/>
          <w:szCs w:val="24"/>
        </w:rPr>
        <w:t xml:space="preserve"> </w:t>
      </w:r>
      <w:r w:rsidR="009C10AF" w:rsidRPr="00320F5A">
        <w:rPr>
          <w:rFonts w:ascii="Times New Roman" w:hAnsi="Times New Roman" w:cs="Times New Roman"/>
          <w:noProof/>
          <w:sz w:val="24"/>
          <w:szCs w:val="24"/>
        </w:rPr>
        <w:t>a</w:t>
      </w:r>
      <w:r w:rsidR="009C10AF">
        <w:rPr>
          <w:rFonts w:ascii="Times New Roman" w:hAnsi="Times New Roman" w:cs="Times New Roman"/>
          <w:sz w:val="24"/>
          <w:szCs w:val="24"/>
        </w:rPr>
        <w:t xml:space="preserve"> situation, other alternatives to CAPM cannot be applied in calculating the business’s rate of return.</w:t>
      </w:r>
    </w:p>
    <w:p w:rsidR="009C10AF" w:rsidRPr="00B43A77" w:rsidRDefault="009C10AF" w:rsidP="00B43A77">
      <w:pPr>
        <w:pStyle w:val="ListParagraph"/>
        <w:numPr>
          <w:ilvl w:val="1"/>
          <w:numId w:val="1"/>
        </w:numPr>
        <w:spacing w:line="480" w:lineRule="auto"/>
        <w:rPr>
          <w:rFonts w:ascii="Times New Roman" w:hAnsi="Times New Roman" w:cs="Times New Roman"/>
          <w:b/>
          <w:i/>
          <w:sz w:val="24"/>
          <w:szCs w:val="24"/>
        </w:rPr>
      </w:pPr>
      <w:r w:rsidRPr="00B43A77">
        <w:rPr>
          <w:rFonts w:ascii="Times New Roman" w:hAnsi="Times New Roman" w:cs="Times New Roman"/>
          <w:b/>
          <w:i/>
          <w:sz w:val="24"/>
          <w:szCs w:val="24"/>
        </w:rPr>
        <w:t>Weaknesses of CAPM</w:t>
      </w:r>
    </w:p>
    <w:p w:rsidR="009C10AF" w:rsidRDefault="00FC577B" w:rsidP="003C6F7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widely recognized rate of return (</w:t>
      </w:r>
      <w:r w:rsidRPr="00FC577B">
        <w:rPr>
          <w:rFonts w:ascii="Times New Roman" w:hAnsi="Times New Roman" w:cs="Times New Roman"/>
          <w:i/>
          <w:sz w:val="24"/>
          <w:szCs w:val="24"/>
        </w:rPr>
        <w:t>R</w:t>
      </w:r>
      <w:r w:rsidRPr="00FC577B">
        <w:rPr>
          <w:rFonts w:ascii="Times New Roman" w:hAnsi="Times New Roman" w:cs="Times New Roman"/>
          <w:i/>
          <w:sz w:val="24"/>
          <w:szCs w:val="24"/>
          <w:vertAlign w:val="subscript"/>
        </w:rPr>
        <w:t>f</w:t>
      </w:r>
      <w:r>
        <w:rPr>
          <w:rFonts w:ascii="Times New Roman" w:hAnsi="Times New Roman" w:cs="Times New Roman"/>
          <w:sz w:val="24"/>
          <w:szCs w:val="24"/>
        </w:rPr>
        <w:t xml:space="preserve">) used in this model is yielded from the short-term government securities. Therefore, the problem with such an input happens to be that the yield changes on a daily basis; hence, resulting </w:t>
      </w:r>
      <w:r w:rsidR="00320F5A">
        <w:rPr>
          <w:rFonts w:ascii="Times New Roman" w:hAnsi="Times New Roman" w:cs="Times New Roman"/>
          <w:noProof/>
          <w:sz w:val="24"/>
          <w:szCs w:val="24"/>
        </w:rPr>
        <w:t>in</w:t>
      </w:r>
      <w:r>
        <w:rPr>
          <w:rFonts w:ascii="Times New Roman" w:hAnsi="Times New Roman" w:cs="Times New Roman"/>
          <w:sz w:val="24"/>
          <w:szCs w:val="24"/>
        </w:rPr>
        <w:t xml:space="preserve"> volatility. Market return</w:t>
      </w:r>
      <w:r w:rsidR="00B43A77">
        <w:rPr>
          <w:rFonts w:ascii="Times New Roman" w:hAnsi="Times New Roman" w:cs="Times New Roman"/>
          <w:sz w:val="24"/>
          <w:szCs w:val="24"/>
        </w:rPr>
        <w:t xml:space="preserve"> (R</w:t>
      </w:r>
      <w:r w:rsidR="00B43A77">
        <w:rPr>
          <w:rFonts w:ascii="Times New Roman" w:hAnsi="Times New Roman" w:cs="Times New Roman"/>
          <w:sz w:val="24"/>
          <w:szCs w:val="24"/>
          <w:vertAlign w:val="subscript"/>
        </w:rPr>
        <w:t>m</w:t>
      </w:r>
      <w:r w:rsidR="00B43A77">
        <w:rPr>
          <w:rFonts w:ascii="Times New Roman" w:hAnsi="Times New Roman" w:cs="Times New Roman"/>
          <w:sz w:val="24"/>
          <w:szCs w:val="24"/>
        </w:rPr>
        <w:t>)</w:t>
      </w:r>
      <w:r>
        <w:rPr>
          <w:rFonts w:ascii="Times New Roman" w:hAnsi="Times New Roman" w:cs="Times New Roman"/>
          <w:sz w:val="24"/>
          <w:szCs w:val="24"/>
        </w:rPr>
        <w:t>, on the other hand, is defined as the sum of the gained capital and dividends from the investment in the market. Therefore, a challenge erupts whenever at any specific time, the rate of return is negative. Given such an outcome, a long-term market return is us</w:t>
      </w:r>
      <w:r w:rsidR="00C21E06">
        <w:rPr>
          <w:rFonts w:ascii="Times New Roman" w:hAnsi="Times New Roman" w:cs="Times New Roman"/>
          <w:sz w:val="24"/>
          <w:szCs w:val="24"/>
        </w:rPr>
        <w:t>ed in smoothening such a return (</w:t>
      </w:r>
      <w:r w:rsidR="00C21E06">
        <w:rPr>
          <w:rFonts w:ascii="Times New Roman" w:hAnsi="Times New Roman" w:cs="Times New Roman"/>
          <w:color w:val="000000"/>
          <w:sz w:val="24"/>
          <w:szCs w:val="24"/>
          <w:shd w:val="clear" w:color="auto" w:fill="FFFFFF"/>
        </w:rPr>
        <w:t xml:space="preserve">Perold, </w:t>
      </w:r>
      <w:r w:rsidR="00C21E06" w:rsidRPr="001974C2">
        <w:rPr>
          <w:rFonts w:ascii="Times New Roman" w:hAnsi="Times New Roman" w:cs="Times New Roman"/>
          <w:color w:val="000000"/>
          <w:sz w:val="24"/>
          <w:szCs w:val="24"/>
          <w:shd w:val="clear" w:color="auto" w:fill="FFFFFF"/>
        </w:rPr>
        <w:t xml:space="preserve">2004). </w:t>
      </w:r>
      <w:r>
        <w:rPr>
          <w:rFonts w:ascii="Times New Roman" w:hAnsi="Times New Roman" w:cs="Times New Roman"/>
          <w:sz w:val="24"/>
          <w:szCs w:val="24"/>
        </w:rPr>
        <w:t xml:space="preserve"> Besides, such return rates appear to be </w:t>
      </w:r>
      <w:r w:rsidRPr="00320F5A">
        <w:rPr>
          <w:rFonts w:ascii="Times New Roman" w:hAnsi="Times New Roman" w:cs="Times New Roman"/>
          <w:noProof/>
          <w:sz w:val="24"/>
          <w:szCs w:val="24"/>
        </w:rPr>
        <w:t>backward</w:t>
      </w:r>
      <w:r w:rsidR="00320F5A">
        <w:rPr>
          <w:rFonts w:ascii="Times New Roman" w:hAnsi="Times New Roman" w:cs="Times New Roman"/>
          <w:noProof/>
          <w:sz w:val="24"/>
          <w:szCs w:val="24"/>
        </w:rPr>
        <w:t>s</w:t>
      </w:r>
      <w:r w:rsidRPr="00320F5A">
        <w:rPr>
          <w:rFonts w:ascii="Times New Roman" w:hAnsi="Times New Roman" w:cs="Times New Roman"/>
          <w:noProof/>
          <w:sz w:val="24"/>
          <w:szCs w:val="24"/>
        </w:rPr>
        <w:t>-looking</w:t>
      </w:r>
      <w:r>
        <w:rPr>
          <w:rFonts w:ascii="Times New Roman" w:hAnsi="Times New Roman" w:cs="Times New Roman"/>
          <w:sz w:val="24"/>
          <w:szCs w:val="24"/>
        </w:rPr>
        <w:t xml:space="preserve"> and they may not be reflected in the long-run returns. Additionally, CAPM facilitates the potentiality of borrowing at a risk-free rate since the model is based on the assumption that investors are subject to lending and borrowing at a risk-free rate. Such an assumption appears unattainable in real sense since individual </w:t>
      </w:r>
      <w:r w:rsidR="00B43A77">
        <w:rPr>
          <w:rFonts w:ascii="Times New Roman" w:hAnsi="Times New Roman" w:cs="Times New Roman"/>
          <w:sz w:val="24"/>
          <w:szCs w:val="24"/>
        </w:rPr>
        <w:t>investors</w:t>
      </w:r>
      <w:r>
        <w:rPr>
          <w:rFonts w:ascii="Times New Roman" w:hAnsi="Times New Roman" w:cs="Times New Roman"/>
          <w:sz w:val="24"/>
          <w:szCs w:val="24"/>
        </w:rPr>
        <w:t xml:space="preserve"> cannot </w:t>
      </w:r>
      <w:r w:rsidR="00B43A77">
        <w:rPr>
          <w:rFonts w:ascii="Times New Roman" w:hAnsi="Times New Roman" w:cs="Times New Roman"/>
          <w:sz w:val="24"/>
          <w:szCs w:val="24"/>
        </w:rPr>
        <w:t xml:space="preserve">lend or borrow at a common rate as the government of US. As a result, the least required rate of return might </w:t>
      </w:r>
      <w:r w:rsidR="00DE7BFA">
        <w:rPr>
          <w:rFonts w:ascii="Times New Roman" w:hAnsi="Times New Roman" w:cs="Times New Roman"/>
          <w:sz w:val="24"/>
          <w:szCs w:val="24"/>
        </w:rPr>
        <w:t>perhaps</w:t>
      </w:r>
      <w:r w:rsidR="00B43A77">
        <w:rPr>
          <w:rFonts w:ascii="Times New Roman" w:hAnsi="Times New Roman" w:cs="Times New Roman"/>
          <w:sz w:val="24"/>
          <w:szCs w:val="24"/>
        </w:rPr>
        <w:t xml:space="preserve"> lead to a lower rate contrary to how the model computes.  </w:t>
      </w:r>
    </w:p>
    <w:p w:rsidR="00B43A77" w:rsidRDefault="00B43A77" w:rsidP="004771A5">
      <w:pPr>
        <w:spacing w:line="480" w:lineRule="auto"/>
        <w:rPr>
          <w:rFonts w:ascii="Times New Roman" w:hAnsi="Times New Roman" w:cs="Times New Roman"/>
          <w:b/>
          <w:sz w:val="24"/>
          <w:szCs w:val="24"/>
        </w:rPr>
      </w:pPr>
      <w:r w:rsidRPr="00B43A77">
        <w:rPr>
          <w:rFonts w:ascii="Times New Roman" w:hAnsi="Times New Roman" w:cs="Times New Roman"/>
          <w:b/>
          <w:sz w:val="24"/>
          <w:szCs w:val="24"/>
        </w:rPr>
        <w:t>Corporate Governance in the US</w:t>
      </w:r>
    </w:p>
    <w:p w:rsidR="005E26F3" w:rsidRDefault="00AB22D9" w:rsidP="003C6F7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Corporate governance in the US should be considered as a structure of interacting factors. However, unlike the depicted shareholder-oriented model evident in the economic theory, the genuine practices in the US companies possess an increased complexity and conflicting relation</w:t>
      </w:r>
      <w:r w:rsidR="00C21E06">
        <w:rPr>
          <w:rFonts w:ascii="Times New Roman" w:hAnsi="Times New Roman" w:cs="Times New Roman"/>
          <w:sz w:val="24"/>
          <w:szCs w:val="24"/>
        </w:rPr>
        <w:t xml:space="preserve"> (</w:t>
      </w:r>
      <w:r w:rsidR="00C21E06">
        <w:rPr>
          <w:rFonts w:ascii="Times New Roman" w:hAnsi="Times New Roman" w:cs="Times New Roman"/>
          <w:color w:val="000000"/>
          <w:sz w:val="24"/>
          <w:szCs w:val="24"/>
          <w:shd w:val="clear" w:color="auto" w:fill="FFFFFF"/>
        </w:rPr>
        <w:t xml:space="preserve">Brown, </w:t>
      </w:r>
      <w:r w:rsidR="00C21E06" w:rsidRPr="001974C2">
        <w:rPr>
          <w:rFonts w:ascii="Times New Roman" w:hAnsi="Times New Roman" w:cs="Times New Roman"/>
          <w:color w:val="000000"/>
          <w:sz w:val="24"/>
          <w:szCs w:val="24"/>
          <w:shd w:val="clear" w:color="auto" w:fill="FFFFFF"/>
        </w:rPr>
        <w:t xml:space="preserve">2005). </w:t>
      </w:r>
      <w:r>
        <w:rPr>
          <w:rFonts w:ascii="Times New Roman" w:hAnsi="Times New Roman" w:cs="Times New Roman"/>
          <w:sz w:val="24"/>
          <w:szCs w:val="24"/>
        </w:rPr>
        <w:t xml:space="preserve"> Just as every system’s framework is based upon from the other methodologies as entirely complementary, the little implementation of every framework compromises or results to dysfunctional relationships across the system. Such dysfunctional associations are </w:t>
      </w:r>
      <w:r>
        <w:rPr>
          <w:rFonts w:ascii="Times New Roman" w:hAnsi="Times New Roman" w:cs="Times New Roman"/>
          <w:sz w:val="24"/>
          <w:szCs w:val="24"/>
        </w:rPr>
        <w:lastRenderedPageBreak/>
        <w:t>recognizable in the recent scandals and bubble surrounding the collapse of WorldCom</w:t>
      </w:r>
      <w:r w:rsidR="005E26F3">
        <w:rPr>
          <w:rFonts w:ascii="Times New Roman" w:hAnsi="Times New Roman" w:cs="Times New Roman"/>
          <w:sz w:val="24"/>
          <w:szCs w:val="24"/>
        </w:rPr>
        <w:t xml:space="preserve"> and Enron. </w:t>
      </w:r>
      <w:r>
        <w:rPr>
          <w:rFonts w:ascii="Times New Roman" w:hAnsi="Times New Roman" w:cs="Times New Roman"/>
          <w:sz w:val="24"/>
          <w:szCs w:val="24"/>
        </w:rPr>
        <w:t xml:space="preserve">Nevertheless, despite the strong position of </w:t>
      </w:r>
      <w:r w:rsidRPr="00320F5A">
        <w:rPr>
          <w:rFonts w:ascii="Times New Roman" w:hAnsi="Times New Roman" w:cs="Times New Roman"/>
          <w:noProof/>
          <w:sz w:val="24"/>
          <w:szCs w:val="24"/>
        </w:rPr>
        <w:t>man</w:t>
      </w:r>
      <w:r w:rsidR="00320F5A">
        <w:rPr>
          <w:rFonts w:ascii="Times New Roman" w:hAnsi="Times New Roman" w:cs="Times New Roman"/>
          <w:noProof/>
          <w:sz w:val="24"/>
          <w:szCs w:val="24"/>
        </w:rPr>
        <w:t>a</w:t>
      </w:r>
      <w:r w:rsidRPr="00320F5A">
        <w:rPr>
          <w:rFonts w:ascii="Times New Roman" w:hAnsi="Times New Roman" w:cs="Times New Roman"/>
          <w:noProof/>
          <w:sz w:val="24"/>
          <w:szCs w:val="24"/>
        </w:rPr>
        <w:t>gers</w:t>
      </w:r>
      <w:r>
        <w:rPr>
          <w:rFonts w:ascii="Times New Roman" w:hAnsi="Times New Roman" w:cs="Times New Roman"/>
          <w:sz w:val="24"/>
          <w:szCs w:val="24"/>
        </w:rPr>
        <w:t xml:space="preserve"> in respect to shareholder value, the remedy to the agency issues in the US corporation appears too common given the fact that managers have excessive incentives, investors have limited responsibility, and independent boards have limited genuine scrutiny. </w:t>
      </w:r>
    </w:p>
    <w:p w:rsidR="00B43A77" w:rsidRDefault="00AB22D9" w:rsidP="003C6F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gatekeepers </w:t>
      </w:r>
      <w:r w:rsidR="005E26F3">
        <w:rPr>
          <w:rFonts w:ascii="Times New Roman" w:hAnsi="Times New Roman" w:cs="Times New Roman"/>
          <w:sz w:val="24"/>
          <w:szCs w:val="24"/>
        </w:rPr>
        <w:t xml:space="preserve">acquired </w:t>
      </w:r>
      <w:r w:rsidR="00320F5A">
        <w:rPr>
          <w:rFonts w:ascii="Times New Roman" w:hAnsi="Times New Roman" w:cs="Times New Roman"/>
          <w:sz w:val="24"/>
          <w:szCs w:val="24"/>
        </w:rPr>
        <w:t xml:space="preserve">the </w:t>
      </w:r>
      <w:r w:rsidR="005E26F3" w:rsidRPr="00320F5A">
        <w:rPr>
          <w:rFonts w:ascii="Times New Roman" w:hAnsi="Times New Roman" w:cs="Times New Roman"/>
          <w:noProof/>
          <w:sz w:val="24"/>
          <w:szCs w:val="24"/>
        </w:rPr>
        <w:t>majority</w:t>
      </w:r>
      <w:r w:rsidR="005E26F3">
        <w:rPr>
          <w:rFonts w:ascii="Times New Roman" w:hAnsi="Times New Roman" w:cs="Times New Roman"/>
          <w:sz w:val="24"/>
          <w:szCs w:val="24"/>
        </w:rPr>
        <w:t xml:space="preserve"> of the blame during the period of Enron crisis that reflected a nearly unprecedented legislative reform targeting the auditing process. Possibly ironically, the audit companies have been among the major b</w:t>
      </w:r>
      <w:r w:rsidR="00C21E06">
        <w:rPr>
          <w:rFonts w:ascii="Times New Roman" w:hAnsi="Times New Roman" w:cs="Times New Roman"/>
          <w:sz w:val="24"/>
          <w:szCs w:val="24"/>
        </w:rPr>
        <w:t xml:space="preserve">eneficiaries of such a process </w:t>
      </w:r>
      <w:r w:rsidR="00C21E06">
        <w:rPr>
          <w:rFonts w:ascii="Times New Roman" w:hAnsi="Times New Roman" w:cs="Times New Roman"/>
          <w:sz w:val="24"/>
          <w:szCs w:val="24"/>
        </w:rPr>
        <w:t>(</w:t>
      </w:r>
      <w:r w:rsidR="00C21E06">
        <w:rPr>
          <w:rFonts w:ascii="Times New Roman" w:hAnsi="Times New Roman" w:cs="Times New Roman"/>
          <w:color w:val="000000"/>
          <w:sz w:val="24"/>
          <w:szCs w:val="24"/>
          <w:shd w:val="clear" w:color="auto" w:fill="FFFFFF"/>
        </w:rPr>
        <w:t xml:space="preserve">Brown, </w:t>
      </w:r>
      <w:r w:rsidR="00C21E06">
        <w:rPr>
          <w:rFonts w:ascii="Times New Roman" w:hAnsi="Times New Roman" w:cs="Times New Roman"/>
          <w:color w:val="000000"/>
          <w:sz w:val="24"/>
          <w:szCs w:val="24"/>
          <w:shd w:val="clear" w:color="auto" w:fill="FFFFFF"/>
        </w:rPr>
        <w:t xml:space="preserve">2005). </w:t>
      </w:r>
      <w:r w:rsidR="005E26F3">
        <w:rPr>
          <w:rFonts w:ascii="Times New Roman" w:hAnsi="Times New Roman" w:cs="Times New Roman"/>
          <w:sz w:val="24"/>
          <w:szCs w:val="24"/>
        </w:rPr>
        <w:t xml:space="preserve">Given that SOX demonstrated </w:t>
      </w:r>
      <w:r w:rsidR="00320F5A">
        <w:rPr>
          <w:rFonts w:ascii="Times New Roman" w:hAnsi="Times New Roman" w:cs="Times New Roman"/>
          <w:sz w:val="24"/>
          <w:szCs w:val="24"/>
        </w:rPr>
        <w:t xml:space="preserve">a </w:t>
      </w:r>
      <w:r w:rsidR="005E26F3" w:rsidRPr="00320F5A">
        <w:rPr>
          <w:rFonts w:ascii="Times New Roman" w:hAnsi="Times New Roman" w:cs="Times New Roman"/>
          <w:noProof/>
          <w:sz w:val="24"/>
          <w:szCs w:val="24"/>
        </w:rPr>
        <w:t>positive</w:t>
      </w:r>
      <w:r w:rsidR="005E26F3">
        <w:rPr>
          <w:rFonts w:ascii="Times New Roman" w:hAnsi="Times New Roman" w:cs="Times New Roman"/>
          <w:sz w:val="24"/>
          <w:szCs w:val="24"/>
        </w:rPr>
        <w:t xml:space="preserve"> impact on advancing disclosure as well as restricting the earning management, such a regulatory framework only had little impact on the entire corporate governance system. The SOX reform has done less in addressing the significant challenges </w:t>
      </w:r>
      <w:r w:rsidR="00320F5A">
        <w:rPr>
          <w:rFonts w:ascii="Times New Roman" w:hAnsi="Times New Roman" w:cs="Times New Roman"/>
          <w:noProof/>
          <w:sz w:val="24"/>
          <w:szCs w:val="24"/>
        </w:rPr>
        <w:t>with</w:t>
      </w:r>
      <w:r w:rsidR="005E26F3">
        <w:rPr>
          <w:rFonts w:ascii="Times New Roman" w:hAnsi="Times New Roman" w:cs="Times New Roman"/>
          <w:sz w:val="24"/>
          <w:szCs w:val="24"/>
        </w:rPr>
        <w:t xml:space="preserve"> respect to responsibility by investors, compensation of executives, and the fragile role of the board across such a constellation of actors.</w:t>
      </w:r>
    </w:p>
    <w:p w:rsidR="005E26F3" w:rsidRDefault="005E26F3" w:rsidP="003C6F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Notwithstanding, given the fact that stock rights differ, there has been an increased divergence based on the initial control allocation in the administrative practice of US companies. As a result, the process of corporate governance in the US appears to have a high liquidity and decentralization’s degree. </w:t>
      </w:r>
      <w:r w:rsidR="00C2506E">
        <w:rPr>
          <w:rFonts w:ascii="Times New Roman" w:hAnsi="Times New Roman" w:cs="Times New Roman"/>
          <w:sz w:val="24"/>
          <w:szCs w:val="24"/>
        </w:rPr>
        <w:t>The primary elements of such a structure are the high degree of the stock rights’ decentralization, the presence of a flourishing capital market, and a high stock rights’</w:t>
      </w:r>
      <w:r w:rsidR="00C21E06">
        <w:rPr>
          <w:rFonts w:ascii="Times New Roman" w:hAnsi="Times New Roman" w:cs="Times New Roman"/>
          <w:sz w:val="24"/>
          <w:szCs w:val="24"/>
        </w:rPr>
        <w:t xml:space="preserve"> liquidity level </w:t>
      </w:r>
      <w:r w:rsidR="00C21E06">
        <w:rPr>
          <w:rFonts w:ascii="Times New Roman" w:hAnsi="Times New Roman" w:cs="Times New Roman"/>
          <w:sz w:val="24"/>
          <w:szCs w:val="24"/>
        </w:rPr>
        <w:t>(</w:t>
      </w:r>
      <w:r w:rsidR="00C21E06">
        <w:rPr>
          <w:rFonts w:ascii="Times New Roman" w:hAnsi="Times New Roman" w:cs="Times New Roman"/>
          <w:color w:val="000000"/>
          <w:sz w:val="24"/>
          <w:szCs w:val="24"/>
          <w:shd w:val="clear" w:color="auto" w:fill="FFFFFF"/>
        </w:rPr>
        <w:t xml:space="preserve">Brown, </w:t>
      </w:r>
      <w:r w:rsidR="00C21E06">
        <w:rPr>
          <w:rFonts w:ascii="Times New Roman" w:hAnsi="Times New Roman" w:cs="Times New Roman"/>
          <w:color w:val="000000"/>
          <w:sz w:val="24"/>
          <w:szCs w:val="24"/>
          <w:shd w:val="clear" w:color="auto" w:fill="FFFFFF"/>
        </w:rPr>
        <w:t xml:space="preserve">2005). </w:t>
      </w:r>
      <w:r w:rsidR="00C2506E">
        <w:rPr>
          <w:rFonts w:ascii="Times New Roman" w:hAnsi="Times New Roman" w:cs="Times New Roman"/>
          <w:sz w:val="24"/>
          <w:szCs w:val="24"/>
        </w:rPr>
        <w:t xml:space="preserve">Since the amount of owned shares by the shareholders in a firm is very small in the US, the impact of such shareholders on operational management happens to be limited. As a result, shareholders focus more </w:t>
      </w:r>
      <w:r w:rsidR="00320F5A">
        <w:rPr>
          <w:rFonts w:ascii="Times New Roman" w:hAnsi="Times New Roman" w:cs="Times New Roman"/>
          <w:noProof/>
          <w:sz w:val="24"/>
          <w:szCs w:val="24"/>
        </w:rPr>
        <w:t>on</w:t>
      </w:r>
      <w:r w:rsidR="00C2506E">
        <w:rPr>
          <w:rFonts w:ascii="Times New Roman" w:hAnsi="Times New Roman" w:cs="Times New Roman"/>
          <w:sz w:val="24"/>
          <w:szCs w:val="24"/>
        </w:rPr>
        <w:t xml:space="preserve"> the rise and fall of the firm share prices but not the company’s operational management. </w:t>
      </w:r>
    </w:p>
    <w:p w:rsidR="00C2506E" w:rsidRDefault="00C2506E" w:rsidP="003C6F7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essence of the above fact happens to be that the company’s internal administration is of little significance while the firm’s control lies on the manager’s hands. Therefore, given the fact that there are efficient management and capital markets, incompetent managers are immediately identified and replaced. Therefore, the US corporate governance structure has been transmitted from management capital with the </w:t>
      </w:r>
      <w:r w:rsidRPr="00C2506E">
        <w:rPr>
          <w:rFonts w:ascii="Times New Roman" w:hAnsi="Times New Roman" w:cs="Times New Roman"/>
          <w:i/>
          <w:sz w:val="24"/>
          <w:szCs w:val="24"/>
        </w:rPr>
        <w:t>de facto</w:t>
      </w:r>
      <w:r>
        <w:rPr>
          <w:rFonts w:ascii="Times New Roman" w:hAnsi="Times New Roman" w:cs="Times New Roman"/>
          <w:sz w:val="24"/>
          <w:szCs w:val="24"/>
        </w:rPr>
        <w:t xml:space="preserve"> control management to the investor capitalism, whereby the investor practices effecti</w:t>
      </w:r>
      <w:r w:rsidR="00C21E06">
        <w:rPr>
          <w:rFonts w:ascii="Times New Roman" w:hAnsi="Times New Roman" w:cs="Times New Roman"/>
          <w:sz w:val="24"/>
          <w:szCs w:val="24"/>
        </w:rPr>
        <w:t xml:space="preserve">ve constraints on the managers </w:t>
      </w:r>
      <w:r w:rsidR="00C21E06">
        <w:rPr>
          <w:rFonts w:ascii="Times New Roman" w:hAnsi="Times New Roman" w:cs="Times New Roman"/>
          <w:sz w:val="24"/>
          <w:szCs w:val="24"/>
        </w:rPr>
        <w:t>(</w:t>
      </w:r>
      <w:r w:rsidR="00C21E06">
        <w:rPr>
          <w:rFonts w:ascii="Times New Roman" w:hAnsi="Times New Roman" w:cs="Times New Roman"/>
          <w:color w:val="000000"/>
          <w:sz w:val="24"/>
          <w:szCs w:val="24"/>
          <w:shd w:val="clear" w:color="auto" w:fill="FFFFFF"/>
        </w:rPr>
        <w:t xml:space="preserve">Brown, </w:t>
      </w:r>
      <w:r w:rsidR="00C21E06" w:rsidRPr="001974C2">
        <w:rPr>
          <w:rFonts w:ascii="Times New Roman" w:hAnsi="Times New Roman" w:cs="Times New Roman"/>
          <w:color w:val="000000"/>
          <w:sz w:val="24"/>
          <w:szCs w:val="24"/>
          <w:shd w:val="clear" w:color="auto" w:fill="FFFFFF"/>
        </w:rPr>
        <w:t xml:space="preserve">2005). </w:t>
      </w:r>
      <w:r w:rsidR="00C21E06">
        <w:rPr>
          <w:rFonts w:ascii="Times New Roman" w:hAnsi="Times New Roman" w:cs="Times New Roman"/>
          <w:sz w:val="24"/>
          <w:szCs w:val="24"/>
        </w:rPr>
        <w:t xml:space="preserve"> </w:t>
      </w: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1E06" w:rsidRDefault="00C21E06" w:rsidP="00C21E06">
      <w:pPr>
        <w:spacing w:line="480" w:lineRule="auto"/>
        <w:jc w:val="center"/>
        <w:rPr>
          <w:rFonts w:ascii="Times New Roman" w:hAnsi="Times New Roman" w:cs="Times New Roman"/>
          <w:b/>
          <w:sz w:val="24"/>
          <w:szCs w:val="24"/>
        </w:rPr>
      </w:pPr>
    </w:p>
    <w:p w:rsidR="00C2506E" w:rsidRDefault="00C2506E" w:rsidP="00C21E06">
      <w:pPr>
        <w:spacing w:line="480" w:lineRule="auto"/>
        <w:jc w:val="center"/>
        <w:rPr>
          <w:rFonts w:ascii="Times New Roman" w:hAnsi="Times New Roman" w:cs="Times New Roman"/>
          <w:b/>
          <w:sz w:val="24"/>
          <w:szCs w:val="24"/>
        </w:rPr>
      </w:pPr>
      <w:bookmarkStart w:id="0" w:name="_GoBack"/>
      <w:bookmarkEnd w:id="0"/>
      <w:r w:rsidRPr="00C2506E">
        <w:rPr>
          <w:rFonts w:ascii="Times New Roman" w:hAnsi="Times New Roman" w:cs="Times New Roman"/>
          <w:b/>
          <w:sz w:val="24"/>
          <w:szCs w:val="24"/>
        </w:rPr>
        <w:lastRenderedPageBreak/>
        <w:t>References</w:t>
      </w:r>
    </w:p>
    <w:p w:rsidR="001974C2" w:rsidRPr="001974C2" w:rsidRDefault="001974C2" w:rsidP="001974C2">
      <w:pPr>
        <w:spacing w:line="480" w:lineRule="auto"/>
        <w:ind w:left="720" w:hanging="720"/>
        <w:rPr>
          <w:rFonts w:ascii="Times New Roman" w:hAnsi="Times New Roman" w:cs="Times New Roman"/>
          <w:b/>
          <w:sz w:val="24"/>
          <w:szCs w:val="24"/>
        </w:rPr>
      </w:pPr>
      <w:r w:rsidRPr="001974C2">
        <w:rPr>
          <w:rFonts w:ascii="Times New Roman" w:hAnsi="Times New Roman" w:cs="Times New Roman"/>
          <w:color w:val="000000"/>
          <w:sz w:val="24"/>
          <w:szCs w:val="24"/>
          <w:shd w:val="clear" w:color="auto" w:fill="FFFFFF"/>
        </w:rPr>
        <w:t>Brown, G. M. (January 01, 2005). Changing Models in Corporate Governance: Implications of the US Sarbanes-Oxley Act. </w:t>
      </w:r>
      <w:r w:rsidRPr="001974C2">
        <w:rPr>
          <w:rFonts w:ascii="Times New Roman" w:hAnsi="Times New Roman" w:cs="Times New Roman"/>
          <w:i/>
          <w:iCs/>
          <w:color w:val="000000"/>
          <w:sz w:val="24"/>
          <w:szCs w:val="24"/>
          <w:shd w:val="clear" w:color="auto" w:fill="FFFFFF"/>
        </w:rPr>
        <w:t xml:space="preserve">Corporate Governance in </w:t>
      </w:r>
      <w:r w:rsidRPr="001974C2">
        <w:rPr>
          <w:rFonts w:ascii="Times New Roman" w:hAnsi="Times New Roman" w:cs="Times New Roman"/>
          <w:i/>
          <w:iCs/>
          <w:color w:val="000000"/>
          <w:sz w:val="24"/>
          <w:szCs w:val="24"/>
          <w:shd w:val="clear" w:color="auto" w:fill="FFFFFF"/>
        </w:rPr>
        <w:t>Context:</w:t>
      </w:r>
      <w:r w:rsidRPr="001974C2">
        <w:rPr>
          <w:rFonts w:ascii="Times New Roman" w:hAnsi="Times New Roman" w:cs="Times New Roman"/>
          <w:i/>
          <w:iCs/>
          <w:color w:val="000000"/>
          <w:sz w:val="24"/>
          <w:szCs w:val="24"/>
          <w:shd w:val="clear" w:color="auto" w:fill="FFFFFF"/>
        </w:rPr>
        <w:t xml:space="preserve"> Corporations, States and Markets in Europe, Japan, and the Us, </w:t>
      </w:r>
      <w:r w:rsidRPr="001974C2">
        <w:rPr>
          <w:rFonts w:ascii="Times New Roman" w:hAnsi="Times New Roman" w:cs="Times New Roman"/>
          <w:color w:val="000000"/>
          <w:sz w:val="24"/>
          <w:szCs w:val="24"/>
          <w:shd w:val="clear" w:color="auto" w:fill="FFFFFF"/>
        </w:rPr>
        <w:t>143-162.</w:t>
      </w:r>
    </w:p>
    <w:p w:rsidR="001974C2" w:rsidRPr="001974C2" w:rsidRDefault="001974C2" w:rsidP="001974C2">
      <w:pPr>
        <w:spacing w:line="480" w:lineRule="auto"/>
        <w:ind w:left="720" w:hanging="720"/>
        <w:rPr>
          <w:rFonts w:ascii="Times New Roman" w:hAnsi="Times New Roman" w:cs="Times New Roman"/>
          <w:b/>
          <w:sz w:val="24"/>
          <w:szCs w:val="24"/>
        </w:rPr>
      </w:pPr>
      <w:r w:rsidRPr="001974C2">
        <w:rPr>
          <w:rFonts w:ascii="Times New Roman" w:hAnsi="Times New Roman" w:cs="Times New Roman"/>
          <w:color w:val="000000"/>
          <w:sz w:val="24"/>
          <w:szCs w:val="24"/>
          <w:shd w:val="clear" w:color="auto" w:fill="FFFFFF"/>
        </w:rPr>
        <w:t>Choe, G. H. (January 01, 2016). The Capital Asset Pricing Model.</w:t>
      </w:r>
    </w:p>
    <w:p w:rsidR="001974C2" w:rsidRPr="001974C2" w:rsidRDefault="001974C2" w:rsidP="001974C2">
      <w:pPr>
        <w:spacing w:line="480" w:lineRule="auto"/>
        <w:ind w:left="720" w:hanging="720"/>
        <w:rPr>
          <w:rFonts w:ascii="Times New Roman" w:hAnsi="Times New Roman" w:cs="Times New Roman"/>
          <w:b/>
          <w:sz w:val="24"/>
          <w:szCs w:val="24"/>
        </w:rPr>
      </w:pPr>
      <w:r w:rsidRPr="001974C2">
        <w:rPr>
          <w:rFonts w:ascii="Times New Roman" w:hAnsi="Times New Roman" w:cs="Times New Roman"/>
          <w:color w:val="000000"/>
          <w:sz w:val="24"/>
          <w:szCs w:val="24"/>
          <w:shd w:val="clear" w:color="auto" w:fill="FFFFFF"/>
        </w:rPr>
        <w:t>Perold, A. F. (January 01, 2004). The capital asset pricing model. </w:t>
      </w:r>
      <w:r w:rsidRPr="001974C2">
        <w:rPr>
          <w:rFonts w:ascii="Times New Roman" w:hAnsi="Times New Roman" w:cs="Times New Roman"/>
          <w:i/>
          <w:iCs/>
          <w:color w:val="000000"/>
          <w:sz w:val="24"/>
          <w:szCs w:val="24"/>
          <w:shd w:val="clear" w:color="auto" w:fill="FFFFFF"/>
        </w:rPr>
        <w:t>Journal of Economic Perspectives, 18, </w:t>
      </w:r>
      <w:r w:rsidRPr="001974C2">
        <w:rPr>
          <w:rFonts w:ascii="Times New Roman" w:hAnsi="Times New Roman" w:cs="Times New Roman"/>
          <w:color w:val="000000"/>
          <w:sz w:val="24"/>
          <w:szCs w:val="24"/>
          <w:shd w:val="clear" w:color="auto" w:fill="FFFFFF"/>
        </w:rPr>
        <w:t>3, 3-24.</w:t>
      </w:r>
    </w:p>
    <w:p w:rsidR="005E26F3" w:rsidRPr="00B43A77" w:rsidRDefault="005E26F3" w:rsidP="004771A5">
      <w:pPr>
        <w:spacing w:line="480" w:lineRule="auto"/>
        <w:rPr>
          <w:rFonts w:ascii="Times New Roman" w:hAnsi="Times New Roman" w:cs="Times New Roman"/>
          <w:sz w:val="24"/>
          <w:szCs w:val="24"/>
        </w:rPr>
      </w:pPr>
    </w:p>
    <w:p w:rsidR="004771A5" w:rsidRPr="004771A5" w:rsidRDefault="004771A5" w:rsidP="004771A5">
      <w:pPr>
        <w:spacing w:line="480" w:lineRule="auto"/>
        <w:rPr>
          <w:rFonts w:ascii="Times New Roman" w:hAnsi="Times New Roman" w:cs="Times New Roman"/>
          <w:b/>
          <w:sz w:val="24"/>
          <w:szCs w:val="24"/>
        </w:rPr>
      </w:pPr>
    </w:p>
    <w:sectPr w:rsidR="004771A5" w:rsidRPr="004771A5" w:rsidSect="00C21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9A1" w:rsidRDefault="00FC49A1" w:rsidP="00C21E06">
      <w:pPr>
        <w:spacing w:after="0" w:line="240" w:lineRule="auto"/>
      </w:pPr>
      <w:r>
        <w:separator/>
      </w:r>
    </w:p>
  </w:endnote>
  <w:endnote w:type="continuationSeparator" w:id="0">
    <w:p w:rsidR="00FC49A1" w:rsidRDefault="00FC49A1" w:rsidP="00C21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9A1" w:rsidRDefault="00FC49A1" w:rsidP="00C21E06">
      <w:pPr>
        <w:spacing w:after="0" w:line="240" w:lineRule="auto"/>
      </w:pPr>
      <w:r>
        <w:separator/>
      </w:r>
    </w:p>
  </w:footnote>
  <w:footnote w:type="continuationSeparator" w:id="0">
    <w:p w:rsidR="00FC49A1" w:rsidRDefault="00FC49A1" w:rsidP="00C21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6977315"/>
      <w:docPartObj>
        <w:docPartGallery w:val="Page Numbers (Top of Page)"/>
        <w:docPartUnique/>
      </w:docPartObj>
    </w:sdtPr>
    <w:sdtEndPr>
      <w:rPr>
        <w:noProof/>
      </w:rPr>
    </w:sdtEndPr>
    <w:sdtContent>
      <w:p w:rsidR="00C21E06" w:rsidRPr="00C21E06" w:rsidRDefault="00C21E06">
        <w:pPr>
          <w:pStyle w:val="Header"/>
          <w:jc w:val="right"/>
          <w:rPr>
            <w:rFonts w:ascii="Times New Roman" w:hAnsi="Times New Roman" w:cs="Times New Roman"/>
            <w:sz w:val="24"/>
            <w:szCs w:val="24"/>
          </w:rPr>
        </w:pPr>
        <w:r w:rsidRPr="00C21E06">
          <w:rPr>
            <w:rFonts w:ascii="Times New Roman" w:hAnsi="Times New Roman" w:cs="Times New Roman"/>
            <w:sz w:val="24"/>
            <w:szCs w:val="24"/>
          </w:rPr>
          <w:t>CORPORATE FINANCE</w:t>
        </w:r>
        <w:r w:rsidRPr="00C21E06">
          <w:rPr>
            <w:rFonts w:ascii="Times New Roman" w:hAnsi="Times New Roman" w:cs="Times New Roman"/>
            <w:sz w:val="24"/>
            <w:szCs w:val="24"/>
          </w:rPr>
          <w:tab/>
        </w:r>
        <w:r w:rsidRPr="00C21E06">
          <w:rPr>
            <w:rFonts w:ascii="Times New Roman" w:hAnsi="Times New Roman" w:cs="Times New Roman"/>
            <w:sz w:val="24"/>
            <w:szCs w:val="24"/>
          </w:rPr>
          <w:tab/>
        </w:r>
        <w:r w:rsidRPr="00C21E06">
          <w:rPr>
            <w:rFonts w:ascii="Times New Roman" w:hAnsi="Times New Roman" w:cs="Times New Roman"/>
            <w:sz w:val="24"/>
            <w:szCs w:val="24"/>
          </w:rPr>
          <w:fldChar w:fldCharType="begin"/>
        </w:r>
        <w:r w:rsidRPr="00C21E06">
          <w:rPr>
            <w:rFonts w:ascii="Times New Roman" w:hAnsi="Times New Roman" w:cs="Times New Roman"/>
            <w:sz w:val="24"/>
            <w:szCs w:val="24"/>
          </w:rPr>
          <w:instrText xml:space="preserve"> PAGE   \* MERGEFORMAT </w:instrText>
        </w:r>
        <w:r w:rsidRPr="00C21E06">
          <w:rPr>
            <w:rFonts w:ascii="Times New Roman" w:hAnsi="Times New Roman" w:cs="Times New Roman"/>
            <w:sz w:val="24"/>
            <w:szCs w:val="24"/>
          </w:rPr>
          <w:fldChar w:fldCharType="separate"/>
        </w:r>
        <w:r>
          <w:rPr>
            <w:rFonts w:ascii="Times New Roman" w:hAnsi="Times New Roman" w:cs="Times New Roman"/>
            <w:noProof/>
            <w:sz w:val="24"/>
            <w:szCs w:val="24"/>
          </w:rPr>
          <w:t>2</w:t>
        </w:r>
        <w:r w:rsidRPr="00C21E06">
          <w:rPr>
            <w:rFonts w:ascii="Times New Roman" w:hAnsi="Times New Roman" w:cs="Times New Roman"/>
            <w:noProof/>
            <w:sz w:val="24"/>
            <w:szCs w:val="24"/>
          </w:rPr>
          <w:fldChar w:fldCharType="end"/>
        </w:r>
      </w:p>
    </w:sdtContent>
  </w:sdt>
  <w:p w:rsidR="00C21E06" w:rsidRPr="00C21E06" w:rsidRDefault="00C21E0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E06" w:rsidRPr="00C21E06" w:rsidRDefault="00C21E06">
    <w:pPr>
      <w:pStyle w:val="Header"/>
      <w:rPr>
        <w:rFonts w:ascii="Times New Roman" w:hAnsi="Times New Roman" w:cs="Times New Roman"/>
        <w:sz w:val="24"/>
        <w:szCs w:val="24"/>
      </w:rPr>
    </w:pPr>
    <w:r w:rsidRPr="00C21E06">
      <w:rPr>
        <w:rFonts w:ascii="Times New Roman" w:hAnsi="Times New Roman" w:cs="Times New Roman"/>
        <w:sz w:val="24"/>
        <w:szCs w:val="24"/>
      </w:rPr>
      <w:t>Running head: CORPORATE FINANCE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62360"/>
    <w:multiLevelType w:val="multilevel"/>
    <w:tmpl w:val="D79C30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0NTI3NDQxMDAFEko6SsGpxcWZ+XkgBYa1AOTlZ5gsAAAA"/>
  </w:docVars>
  <w:rsids>
    <w:rsidRoot w:val="004771A5"/>
    <w:rsid w:val="001022F4"/>
    <w:rsid w:val="001974C2"/>
    <w:rsid w:val="002A2DC9"/>
    <w:rsid w:val="00320F5A"/>
    <w:rsid w:val="003C6F7A"/>
    <w:rsid w:val="004771A5"/>
    <w:rsid w:val="005E26F3"/>
    <w:rsid w:val="00653824"/>
    <w:rsid w:val="00793B01"/>
    <w:rsid w:val="009C10AF"/>
    <w:rsid w:val="00AB22D9"/>
    <w:rsid w:val="00B43A77"/>
    <w:rsid w:val="00C21E06"/>
    <w:rsid w:val="00C2506E"/>
    <w:rsid w:val="00DE7BFA"/>
    <w:rsid w:val="00F05E72"/>
    <w:rsid w:val="00FC49A1"/>
    <w:rsid w:val="00FC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FE10"/>
  <w15:chartTrackingRefBased/>
  <w15:docId w15:val="{3F6B96A0-96DD-4E5F-B3BD-914EAC6F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A77"/>
    <w:pPr>
      <w:ind w:left="720"/>
      <w:contextualSpacing/>
    </w:pPr>
  </w:style>
  <w:style w:type="paragraph" w:styleId="Header">
    <w:name w:val="header"/>
    <w:basedOn w:val="Normal"/>
    <w:link w:val="HeaderChar"/>
    <w:uiPriority w:val="99"/>
    <w:unhideWhenUsed/>
    <w:rsid w:val="00C21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E06"/>
  </w:style>
  <w:style w:type="paragraph" w:styleId="Footer">
    <w:name w:val="footer"/>
    <w:basedOn w:val="Normal"/>
    <w:link w:val="FooterChar"/>
    <w:uiPriority w:val="99"/>
    <w:unhideWhenUsed/>
    <w:rsid w:val="00C21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2018-05-07T07:45:00Z</dcterms:created>
  <dcterms:modified xsi:type="dcterms:W3CDTF">2018-05-07T10:00:00Z</dcterms:modified>
</cp:coreProperties>
</file>